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Rodap"/>
        <w:numPr>
          <w:ilvl w:val="0"/>
          <w:numId w:val="2"/>
        </w:numPr>
        <w:suppressAutoHyphens w:val="false"/>
        <w:spacing w:lineRule="atLeast" w:line="100"/>
        <w:jc w:val="center"/>
        <w:rPr>
          <w:rFonts w:eastAsia="Lucida Sans Unicode" w:cs="Times New Roman"/>
          <w:b w:val="false"/>
          <w:b w:val="false"/>
          <w:bCs w:val="false"/>
          <w:color w:val="000000"/>
          <w:sz w:val="18"/>
          <w:szCs w:val="18"/>
          <w:lang w:val="pt-BR" w:eastAsia="pt-BR" w:bidi="hi-IN"/>
        </w:rPr>
      </w:pPr>
      <w:r>
        <w:rPr>
          <w:rFonts w:eastAsia="Lucida Sans Unicode" w:cs="Times New Roman"/>
          <w:b w:val="false"/>
          <w:bCs w:val="false"/>
          <w:color w:val="000000"/>
          <w:sz w:val="18"/>
          <w:szCs w:val="18"/>
          <w:lang w:val="pt-BR" w:eastAsia="pt-BR" w:bidi="hi-IN"/>
        </w:rPr>
      </w:r>
    </w:p>
    <w:p>
      <w:pPr>
        <w:pStyle w:val="Rodap"/>
        <w:numPr>
          <w:ilvl w:val="0"/>
          <w:numId w:val="2"/>
        </w:numPr>
        <w:suppressAutoHyphens w:val="false"/>
        <w:spacing w:lineRule="auto" w:line="360"/>
        <w:jc w:val="center"/>
        <w:rPr>
          <w:rFonts w:eastAsia="Lucida Sans Unicode" w:cs="Times New Roman"/>
          <w:b/>
          <w:b/>
          <w:bCs/>
          <w:color w:val="000000"/>
          <w:sz w:val="18"/>
          <w:szCs w:val="18"/>
          <w:lang w:val="pt-BR" w:eastAsia="pt-BR" w:bidi="hi-IN"/>
        </w:rPr>
      </w:pPr>
      <w:r>
        <w:rPr>
          <w:rFonts w:eastAsia="Lucida Sans Unicode" w:cs="Times New Roman"/>
          <w:b/>
          <w:bCs/>
          <w:color w:val="000000"/>
          <w:sz w:val="18"/>
          <w:szCs w:val="18"/>
          <w:lang w:val="pt-BR" w:eastAsia="pt-BR" w:bidi="hi-IN"/>
        </w:rPr>
      </w:r>
    </w:p>
    <w:p>
      <w:pPr>
        <w:pStyle w:val="Rodap"/>
        <w:numPr>
          <w:ilvl w:val="0"/>
          <w:numId w:val="2"/>
        </w:numPr>
        <w:suppressAutoHyphens w:val="false"/>
        <w:spacing w:lineRule="auto" w:line="360"/>
        <w:jc w:val="center"/>
        <w:rPr>
          <w:rFonts w:eastAsia="Lucida Sans Unicode" w:cs="Times New Roman"/>
          <w:b/>
          <w:b/>
          <w:bCs/>
          <w:color w:val="000000"/>
          <w:sz w:val="18"/>
          <w:szCs w:val="18"/>
          <w:lang w:val="pt-BR" w:eastAsia="pt-BR" w:bidi="hi-IN"/>
        </w:rPr>
      </w:pPr>
      <w:r>
        <w:rPr>
          <w:rFonts w:eastAsia="Lucida Sans Unicode" w:cs="Times New Roman"/>
          <w:b/>
          <w:bCs/>
          <w:color w:val="000000"/>
          <w:sz w:val="18"/>
          <w:szCs w:val="18"/>
          <w:lang w:val="pt-BR" w:eastAsia="pt-BR" w:bidi="hi-IN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/>
      </w:pPr>
      <w:r>
        <w:rPr>
          <w:b/>
          <w:bCs/>
          <w:lang w:eastAsia="pt-BR"/>
        </w:rPr>
        <w:t>TERMO DE DEVOLUÇÃO DE BEM PERMANENTE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b/>
          <w:b/>
          <w:bCs/>
          <w:lang w:eastAsia="pt-BR"/>
        </w:rPr>
      </w:pPr>
      <w:r>
        <w:rPr>
          <w:b/>
          <w:bCs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b/>
          <w:b/>
          <w:bCs/>
          <w:lang w:eastAsia="pt-BR"/>
        </w:rPr>
      </w:pPr>
      <w:r>
        <w:rPr>
          <w:b/>
          <w:bCs/>
          <w:lang w:eastAsia="pt-BR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360"/>
        <w:jc w:val="both"/>
        <w:rPr/>
      </w:pPr>
      <w:r>
        <w:rPr>
          <w:b w:val="false"/>
          <w:bCs w:val="false"/>
          <w:lang w:eastAsia="pt-BR"/>
        </w:rPr>
        <w:t>Eu, ____________________________</w:t>
      </w:r>
      <w:r>
        <w:rPr>
          <w:b/>
          <w:bCs/>
          <w:lang w:eastAsia="pt-BR"/>
        </w:rPr>
        <w:t>, (</w:t>
      </w:r>
      <w:r>
        <w:rPr>
          <w:b w:val="false"/>
          <w:bCs w:val="false"/>
          <w:lang w:eastAsia="pt-BR"/>
        </w:rPr>
        <w:t>ID funcional e cargo),  estou nesta data devolvendo o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pt-BR" w:eastAsia="pt-BR" w:bidi="ar-SA"/>
        </w:rPr>
        <w:t xml:space="preserve"> equipamento abaixo,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A"/>
          <w:sz w:val="24"/>
          <w:szCs w:val="24"/>
          <w:u w:val="none"/>
          <w:em w:val="none"/>
          <w:lang w:val="pt-BR" w:eastAsia="pt-BR" w:bidi="ar-SA"/>
        </w:rPr>
        <w:t xml:space="preserve"> em perfeito estado de conservação, a/ao ___________________________ (nome da subunidade de bens móveis).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pacing w:lineRule="auto" w:line="360" w:before="0" w:after="0"/>
        <w:jc w:val="both"/>
        <w:rPr/>
      </w:pPr>
      <w:r>
        <w:rPr>
          <w:rFonts w:eastAsia="Times New Roman" w:cs="Times New Roman"/>
          <w:i w:val="false"/>
          <w:iCs w:val="false"/>
          <w:sz w:val="24"/>
          <w:szCs w:val="24"/>
          <w:lang w:eastAsia="pt-BR"/>
        </w:rPr>
        <w:t xml:space="preserve">CARACTERÍSTICAS DO BEM: </w:t>
      </w:r>
    </w:p>
    <w:tbl>
      <w:tblPr>
        <w:tblW w:w="9651" w:type="dxa"/>
        <w:jc w:val="left"/>
        <w:tblInd w:w="4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2" w:type="dxa"/>
          <w:bottom w:w="55" w:type="dxa"/>
          <w:right w:w="55" w:type="dxa"/>
        </w:tblCellMar>
      </w:tblPr>
      <w:tblGrid>
        <w:gridCol w:w="1485"/>
        <w:gridCol w:w="3271"/>
        <w:gridCol w:w="2489"/>
        <w:gridCol w:w="2405"/>
      </w:tblGrid>
      <w:tr>
        <w:trPr/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Nº Patrimônio</w:t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Subunidade de Controle</w:t>
            </w:r>
          </w:p>
        </w:tc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jc w:val="center"/>
              <w:rPr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Valor</w:t>
            </w:r>
          </w:p>
        </w:tc>
      </w:tr>
      <w:tr>
        <w:trPr/>
        <w:tc>
          <w:tcPr>
            <w:tcW w:w="14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W w:w="327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0"/>
                <w:szCs w:val="20"/>
                <w:u w:val="none"/>
                <w:em w:val="none"/>
              </w:rPr>
            </w:r>
          </w:p>
        </w:tc>
        <w:tc>
          <w:tcPr>
            <w:tcW w:w="24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numPr>
                <w:ilvl w:val="0"/>
                <w:numId w:val="2"/>
              </w:numPr>
              <w:snapToGrid w:val="false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  <w:p>
            <w:pPr>
              <w:pStyle w:val="Contedodatabela"/>
              <w:numPr>
                <w:ilvl w:val="0"/>
                <w:numId w:val="2"/>
              </w:numPr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</w:r>
          </w:p>
        </w:tc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42" w:type="dxa"/>
            </w:tcMar>
          </w:tcPr>
          <w:p>
            <w:pPr>
              <w:pStyle w:val="Normal"/>
              <w:numPr>
                <w:ilvl w:val="0"/>
                <w:numId w:val="2"/>
              </w:numPr>
              <w:jc w:val="center"/>
              <w:rPr/>
            </w:pP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R$ </w:t>
            </w:r>
          </w:p>
          <w:p>
            <w:pPr>
              <w:pStyle w:val="Contedodatabela"/>
              <w:numPr>
                <w:ilvl w:val="0"/>
                <w:numId w:val="2"/>
              </w:num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</w:r>
          </w:p>
        </w:tc>
      </w:tr>
    </w:tbl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360" w:before="0" w:after="0"/>
        <w:jc w:val="both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360"/>
        <w:jc w:val="both"/>
        <w:rPr/>
      </w:pPr>
      <w:r>
        <w:rPr/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/>
      </w:pPr>
      <w:r>
        <w:rPr>
          <w:lang w:eastAsia="pt-BR"/>
        </w:rPr>
        <w:t xml:space="preserve"> </w:t>
      </w:r>
      <w:r>
        <w:rPr>
          <w:lang w:eastAsia="pt-BR"/>
        </w:rPr>
        <w:t>Rio de Janeiro, ___ de ___________________ de 20___.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lang w:eastAsia="pt-BR"/>
        </w:rPr>
      </w:pPr>
      <w:r>
        <w:rPr>
          <w:lang w:eastAsia="pt-BR"/>
        </w:rPr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uto" w:line="360"/>
        <w:jc w:val="center"/>
        <w:rPr/>
      </w:pPr>
      <w:r>
        <w:rPr>
          <w:rFonts w:cs="Times New Roman"/>
          <w:b/>
          <w:bCs/>
          <w:sz w:val="24"/>
          <w:szCs w:val="24"/>
          <w:lang w:eastAsia="pt-BR"/>
        </w:rPr>
        <w:t>___________________________________</w:t>
      </w:r>
    </w:p>
    <w:p>
      <w:pPr>
        <w:pStyle w:val="Normal"/>
        <w:widowControl/>
        <w:numPr>
          <w:ilvl w:val="0"/>
          <w:numId w:val="2"/>
        </w:numPr>
        <w:suppressAutoHyphens w:val="false"/>
        <w:bidi w:val="0"/>
        <w:spacing w:lineRule="atLeast" w:line="100"/>
        <w:jc w:val="center"/>
        <w:rPr/>
      </w:pPr>
      <w:r>
        <w:rPr>
          <w:rFonts w:cs="Times New Roman"/>
          <w:b w:val="false"/>
          <w:bCs w:val="false"/>
          <w:sz w:val="24"/>
          <w:szCs w:val="24"/>
          <w:lang w:eastAsia="pt-BR"/>
        </w:rPr>
        <w:t>Nome do Funcionário</w:t>
      </w:r>
    </w:p>
    <w:p>
      <w:pPr>
        <w:pStyle w:val="Normal"/>
        <w:numPr>
          <w:ilvl w:val="0"/>
          <w:numId w:val="2"/>
        </w:numPr>
        <w:suppressAutoHyphens w:val="false"/>
        <w:spacing w:lineRule="atLeast" w:line="100"/>
        <w:jc w:val="center"/>
        <w:rPr/>
      </w:pPr>
      <w:r>
        <w:rPr>
          <w:rFonts w:cs="Times New Roman"/>
          <w:sz w:val="24"/>
          <w:szCs w:val="24"/>
          <w:lang w:eastAsia="pt-BR"/>
        </w:rPr>
        <w:t>ID Funcional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/>
          <w:sz w:val="24"/>
          <w:szCs w:val="24"/>
          <w:lang w:eastAsia="pt-BR"/>
        </w:rPr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cs="Times New Roman"/>
          <w:sz w:val="24"/>
          <w:szCs w:val="24"/>
          <w:lang w:eastAsia="pt-BR"/>
        </w:rPr>
      </w:r>
    </w:p>
    <w:tbl>
      <w:tblPr>
        <w:tblW w:w="9360" w:type="dxa"/>
        <w:jc w:val="left"/>
        <w:tblInd w:w="55" w:type="dxa"/>
        <w:tblBorders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40"/>
        <w:gridCol w:w="510"/>
        <w:gridCol w:w="4410"/>
      </w:tblGrid>
      <w:tr>
        <w:trPr/>
        <w:tc>
          <w:tcPr>
            <w:tcW w:w="444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pt-BR"/>
              </w:rPr>
              <w:t>_________________________________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pt-BR"/>
              </w:rPr>
              <w:t xml:space="preserve">Encarregado da Subunidade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/>
            </w:pPr>
            <w:r>
              <w:rPr>
                <w:rFonts w:cs="Times New Roman"/>
                <w:sz w:val="24"/>
                <w:szCs w:val="24"/>
                <w:lang w:eastAsia="pt-BR"/>
              </w:rPr>
              <w:t xml:space="preserve">ID Funcional 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cs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cs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cs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cs="Times New Roman"/>
                <w:sz w:val="24"/>
                <w:szCs w:val="24"/>
                <w:lang w:eastAsia="pt-BR"/>
              </w:rPr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spacing w:lineRule="atLeast" w: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cs="Times New Roman"/>
                <w:sz w:val="24"/>
                <w:szCs w:val="24"/>
                <w:lang w:eastAsia="pt-BR"/>
              </w:rPr>
            </w:r>
          </w:p>
        </w:tc>
        <w:tc>
          <w:tcPr>
            <w:tcW w:w="510" w:type="dxa"/>
            <w:tcBorders/>
            <w:shd w:fill="auto" w:val="clear"/>
          </w:tcPr>
          <w:p>
            <w:pPr>
              <w:pStyle w:val="Contedodatabela"/>
              <w:numPr>
                <w:ilvl w:val="0"/>
                <w:numId w:val="2"/>
              </w:numPr>
              <w:snapToGrid w:val="false"/>
              <w:spacing w:lineRule="atLeast" w:line="200"/>
              <w:jc w:val="center"/>
              <w:rPr>
                <w:rFonts w:ascii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cs="Times New Roman"/>
                <w:sz w:val="24"/>
                <w:szCs w:val="24"/>
                <w:lang w:eastAsia="pt-BR"/>
              </w:rPr>
            </w:r>
          </w:p>
        </w:tc>
        <w:tc>
          <w:tcPr>
            <w:tcW w:w="4410" w:type="dxa"/>
            <w:tcBorders/>
            <w:shd w:fill="auto" w:val="clear"/>
          </w:tcPr>
          <w:p>
            <w:pPr>
              <w:pStyle w:val="Normal"/>
              <w:numPr>
                <w:ilvl w:val="0"/>
                <w:numId w:val="2"/>
              </w:numPr>
              <w:spacing w:lineRule="atLeast" w:line="200"/>
              <w:jc w:val="center"/>
              <w:rPr/>
            </w:pPr>
            <w:r>
              <w:rPr/>
              <w:t>________________________________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tLeast" w:line="200"/>
              <w:jc w:val="center"/>
              <w:rPr/>
            </w:pPr>
            <w:r>
              <w:rPr/>
              <w:t>Coordenação de Patrimônio</w:t>
            </w:r>
          </w:p>
          <w:p>
            <w:pPr>
              <w:pStyle w:val="Normal"/>
              <w:numPr>
                <w:ilvl w:val="0"/>
                <w:numId w:val="2"/>
              </w:numPr>
              <w:spacing w:lineRule="atLeast" w:line="200" w:before="11" w:after="0"/>
              <w:jc w:val="center"/>
              <w:rPr/>
            </w:pPr>
            <w:r>
              <w:rPr>
                <w:rFonts w:cs="Times New Roman"/>
                <w:b w:val="false"/>
                <w:bCs w:val="false"/>
                <w:sz w:val="24"/>
                <w:szCs w:val="24"/>
              </w:rPr>
              <w:t>ID Funcional</w:t>
            </w:r>
          </w:p>
          <w:p>
            <w:pPr>
              <w:pStyle w:val="Normal"/>
              <w:numPr>
                <w:ilvl w:val="0"/>
                <w:numId w:val="2"/>
              </w:numPr>
              <w:tabs>
                <w:tab w:val="left" w:pos="0" w:leader="none"/>
              </w:tabs>
              <w:spacing w:lineRule="atLeast" w:line="200" w:before="11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  <w:p>
            <w:pPr>
              <w:pStyle w:val="Contedodatabela"/>
              <w:numPr>
                <w:ilvl w:val="0"/>
                <w:numId w:val="2"/>
              </w:numPr>
              <w:spacing w:lineRule="atLeast" w:line="20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2"/>
        </w:numPr>
        <w:suppressAutoHyphens w:val="false"/>
        <w:spacing w:lineRule="auto" w:line="360"/>
        <w:jc w:val="left"/>
        <w:rPr/>
      </w:pPr>
      <w:r>
        <w:rPr>
          <w:bCs/>
          <w:sz w:val="18"/>
          <w:szCs w:val="18"/>
          <w:lang w:eastAsia="pt-BR"/>
        </w:rPr>
        <w:t>Imprimir 03 vias: 01 Funcionário, 01 Encarregado Subunidade, 01 COPAT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361" w:header="300" w:top="2280" w:footer="709" w:bottom="766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lineRule="auto" w:line="360"/>
      <w:jc w:val="center"/>
      <w:rPr>
        <w:rFonts w:ascii="Times New Roman" w:hAnsi="Times New Roman"/>
      </w:rPr>
    </w:pPr>
    <w:r>
      <w:rPr>
        <w:rFonts w:ascii="Times New Roman" w:hAnsi="Times New Roman"/>
        <w:b/>
        <w:bCs/>
        <w:sz w:val="18"/>
        <w:szCs w:val="18"/>
      </w:rPr>
      <w:t>Fundação Centro Universitário Estadual da Zona Oeste</w:t>
    </w:r>
    <w:r>
      <w:rPr>
        <w:rFonts w:ascii="Times New Roman" w:hAnsi="Times New Roman"/>
        <w:b/>
        <w:sz w:val="18"/>
        <w:szCs w:val="18"/>
      </w:rPr>
      <w:t xml:space="preserve"> - UEZO</w:t>
    </w:r>
  </w:p>
  <w:p>
    <w:pPr>
      <w:pStyle w:val="Rodap"/>
      <w:spacing w:lineRule="auto" w:line="360"/>
      <w:jc w:val="center"/>
      <w:rPr>
        <w:rFonts w:ascii="Times New Roman" w:hAnsi="Times New Roman"/>
      </w:rPr>
    </w:pPr>
    <w:r>
      <w:rPr>
        <w:rFonts w:ascii="Times New Roman" w:hAnsi="Times New Roman"/>
        <w:b/>
        <w:sz w:val="18"/>
        <w:szCs w:val="18"/>
      </w:rPr>
      <w:t>Av. Manuel Caldeira de Alvarenga, 1.203 – Campo Grande – RJ – CEP 23.070-200</w:t>
    </w:r>
  </w:p>
  <w:p>
    <w:pPr>
      <w:pStyle w:val="Rodap"/>
      <w:spacing w:lineRule="auto" w:line="360"/>
      <w:jc w:val="center"/>
      <w:rPr>
        <w:rFonts w:ascii="Arial" w:hAnsi="Arial" w:cs="Arial"/>
        <w:sz w:val="22"/>
      </w:rPr>
    </w:pPr>
    <w:bookmarkStart w:id="0" w:name="__DdeLink__254_1520999628"/>
    <w:bookmarkEnd w:id="0"/>
    <w:r>
      <w:rPr>
        <w:rFonts w:cs="Arial" w:ascii="Times New Roman" w:hAnsi="Times New Roman"/>
        <w:b/>
        <w:sz w:val="18"/>
        <w:szCs w:val="18"/>
      </w:rPr>
      <w:t>Tel. (21) 2332-7531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uppressAutoHyphens w:val="false"/>
      <w:spacing w:lineRule="atLeast" w:line="100"/>
      <w:jc w:val="cent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-190500</wp:posOffset>
          </wp:positionV>
          <wp:extent cx="628015" cy="847090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47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>
        <w:sz w:val="12"/>
        <w:szCs w:val="12"/>
      </w:rPr>
    </w:pPr>
    <w:r>
      <w:rPr>
        <w:sz w:val="12"/>
        <w:szCs w:val="12"/>
      </w:rPr>
    </w:r>
  </w:p>
  <w:p>
    <w:pPr>
      <w:pStyle w:val="Rodap"/>
      <w:suppressAutoHyphens w:val="false"/>
      <w:spacing w:lineRule="atLeast" w:line="100"/>
      <w:jc w:val="center"/>
      <w:rPr/>
    </w:pPr>
    <w:r>
      <w:rPr/>
      <w:tab/>
    </w:r>
  </w:p>
  <w:p>
    <w:pPr>
      <w:pStyle w:val="Rodap"/>
      <w:suppressAutoHyphens w:val="false"/>
      <w:spacing w:lineRule="atLeast" w:line="100"/>
      <w:jc w:val="center"/>
      <w:rPr/>
    </w:pPr>
    <w:r>
      <w:rPr>
        <w:rFonts w:eastAsia="Lucida Sans Unicode" w:cs="Times New Roman"/>
        <w:b w:val="false"/>
        <w:bCs w:val="false"/>
        <w:color w:val="000000"/>
        <w:sz w:val="18"/>
        <w:szCs w:val="18"/>
        <w:lang w:val="pt-BR" w:eastAsia="pt-BR" w:bidi="hi-IN"/>
      </w:rPr>
      <w:t>Governo do Estado do Rio de Janeiro</w:t>
      <w:br/>
      <w:t xml:space="preserve">Secretaria de Estado de Ciência, Tecnologia  e Inovação </w:t>
      <w:br/>
      <w:t>Fundação Centro Universitário Estadual da Zona Oeste – UEZO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jc w:val="center"/>
      <w:outlineLvl w:val="0"/>
      <w:outlineLvl w:val="0"/>
    </w:pPr>
    <w:rPr>
      <w:rFonts w:ascii="Arial" w:hAnsi="Arial" w:cs="Arial"/>
      <w:b/>
      <w:bCs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WenQuanYi Micro Hei" w:cs="Lohit Hind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Hindi"/>
    </w:rPr>
  </w:style>
  <w:style w:type="paragraph" w:styleId="Cabealho">
    <w:name w:val="Head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LibreOffice/5.1.6.2$Linux_X86_64 LibreOffice_project/10m0$Build-2</Application>
  <Pages>1</Pages>
  <Words>125</Words>
  <Characters>846</Characters>
  <CharactersWithSpaces>961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2005-05-14T20:13:00Z</dcterms:created>
  <dc:creator>UFF</dc:creator>
  <dc:description/>
  <dc:language>pt-BR</dc:language>
  <cp:lastModifiedBy/>
  <cp:lastPrinted>2018-07-05T16:55:00Z</cp:lastPrinted>
  <dcterms:modified xsi:type="dcterms:W3CDTF">2019-07-11T08:49:19Z</dcterms:modified>
  <cp:revision>10</cp:revision>
  <dc:subject/>
  <dc:title>GUIA DE MOVIMENTAÇÃO DE MATERIAL PARA REPARO: Para saída dos bens móveis para conserto, é necessária sua emissão, contendo as </dc:title>
</cp:coreProperties>
</file>